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FE4CD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FE4CD8">
              <w:rPr>
                <w:rFonts w:ascii="Times New Roman" w:hAnsi="Times New Roman" w:cs="Times New Roman"/>
                <w:color w:val="000000" w:themeColor="text1"/>
                <w:sz w:val="19"/>
                <w:szCs w:val="19"/>
              </w:rPr>
              <w:t>reprezentant</w:t>
            </w:r>
            <w:r>
              <w:rPr>
                <w:rFonts w:ascii="Times New Roman" w:hAnsi="Times New Roman" w:cs="Times New Roman"/>
                <w:color w:val="000000" w:themeColor="text1"/>
                <w:sz w:val="19"/>
                <w:szCs w:val="19"/>
              </w:rPr>
              <w:t>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2478C4">
        <w:rPr>
          <w:rFonts w:ascii="Times New Roman" w:hAnsi="Times New Roman" w:cs="Times New Roman"/>
          <w:b/>
          <w:color w:val="000000" w:themeColor="text1"/>
          <w:sz w:val="19"/>
          <w:szCs w:val="19"/>
        </w:rPr>
        <w:t>Zarząd Województwa Pomorskiego</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2478C4" w:rsidRPr="002478C4">
        <w:rPr>
          <w:rFonts w:ascii="Times New Roman" w:hAnsi="Times New Roman" w:cs="Times New Roman"/>
          <w:b/>
          <w:color w:val="000000" w:themeColor="text1"/>
          <w:sz w:val="19"/>
          <w:szCs w:val="19"/>
        </w:rPr>
        <w:t>Gdańsku, ul. Okopowa 21/27, 80-810 Gdańsk</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2478C4" w:rsidRPr="002478C4">
        <w:rPr>
          <w:rFonts w:ascii="Times New Roman" w:hAnsi="Times New Roman" w:cs="Times New Roman"/>
          <w:b/>
          <w:color w:val="000000" w:themeColor="text1"/>
          <w:sz w:val="19"/>
          <w:szCs w:val="19"/>
        </w:rPr>
        <w:t>dprow@pomorskie.eu</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2478C4">
        <w:rPr>
          <w:rFonts w:ascii="Times New Roman" w:hAnsi="Times New Roman" w:cs="Times New Roman"/>
          <w:color w:val="000000" w:themeColor="text1"/>
          <w:sz w:val="19"/>
          <w:szCs w:val="19"/>
        </w:rPr>
        <w:t xml:space="preserve">: </w:t>
      </w:r>
      <w:r w:rsidR="002478C4" w:rsidRPr="002478C4">
        <w:rPr>
          <w:rFonts w:ascii="Times New Roman" w:hAnsi="Times New Roman" w:cs="Times New Roman"/>
          <w:b/>
          <w:color w:val="000000" w:themeColor="text1"/>
          <w:sz w:val="19"/>
          <w:szCs w:val="19"/>
        </w:rPr>
        <w:t>ul. Okopowa 21/27, 80-810 Gdańsk</w:t>
      </w:r>
      <w:r w:rsidR="002478C4">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2478C4" w:rsidRPr="002478C4">
        <w:rPr>
          <w:rFonts w:ascii="Times New Roman" w:hAnsi="Times New Roman" w:cs="Times New Roman"/>
          <w:b/>
          <w:color w:val="000000" w:themeColor="text1"/>
          <w:sz w:val="19"/>
          <w:szCs w:val="19"/>
        </w:rPr>
        <w:t>iod@pomorskie.eu</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6F58">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82816">
        <w:rPr>
          <w:rFonts w:ascii="Times New Roman" w:hAnsi="Times New Roman" w:cs="Times New Roman"/>
          <w:b/>
          <w:color w:val="000000" w:themeColor="text1"/>
          <w:sz w:val="19"/>
          <w:szCs w:val="19"/>
        </w:rPr>
        <w:t>Lo</w:t>
      </w:r>
      <w:r w:rsidR="005F15C2" w:rsidRPr="005F15C2">
        <w:rPr>
          <w:rFonts w:ascii="Times New Roman" w:hAnsi="Times New Roman" w:cs="Times New Roman"/>
          <w:b/>
          <w:color w:val="000000" w:themeColor="text1"/>
          <w:sz w:val="19"/>
          <w:szCs w:val="19"/>
        </w:rPr>
        <w:t xml:space="preserve">kalna </w:t>
      </w:r>
      <w:r w:rsidR="00582816">
        <w:rPr>
          <w:rFonts w:ascii="Times New Roman" w:hAnsi="Times New Roman" w:cs="Times New Roman"/>
          <w:b/>
          <w:color w:val="000000" w:themeColor="text1"/>
          <w:sz w:val="19"/>
          <w:szCs w:val="19"/>
        </w:rPr>
        <w:t>G</w:t>
      </w:r>
      <w:r w:rsidR="005F15C2" w:rsidRPr="005F15C2">
        <w:rPr>
          <w:rFonts w:ascii="Times New Roman" w:hAnsi="Times New Roman" w:cs="Times New Roman"/>
          <w:b/>
          <w:color w:val="000000" w:themeColor="text1"/>
          <w:sz w:val="19"/>
          <w:szCs w:val="19"/>
        </w:rPr>
        <w:t xml:space="preserve">rupa </w:t>
      </w:r>
      <w:r w:rsidR="00582816">
        <w:rPr>
          <w:rFonts w:ascii="Times New Roman" w:hAnsi="Times New Roman" w:cs="Times New Roman"/>
          <w:b/>
          <w:color w:val="000000" w:themeColor="text1"/>
          <w:sz w:val="19"/>
          <w:szCs w:val="19"/>
        </w:rPr>
        <w:t>D</w:t>
      </w:r>
      <w:r w:rsidR="005F15C2" w:rsidRPr="005F15C2">
        <w:rPr>
          <w:rFonts w:ascii="Times New Roman" w:hAnsi="Times New Roman" w:cs="Times New Roman"/>
          <w:b/>
          <w:color w:val="000000" w:themeColor="text1"/>
          <w:sz w:val="19"/>
          <w:szCs w:val="19"/>
        </w:rPr>
        <w:t>ziałania</w:t>
      </w:r>
      <w:r w:rsidR="005F15C2">
        <w:rPr>
          <w:rFonts w:ascii="Times New Roman" w:hAnsi="Times New Roman" w:cs="Times New Roman"/>
          <w:color w:val="000000" w:themeColor="text1"/>
          <w:sz w:val="19"/>
          <w:szCs w:val="19"/>
        </w:rPr>
        <w:t xml:space="preserve"> </w:t>
      </w:r>
      <w:bookmarkStart w:id="0" w:name="_GoBack"/>
      <w:r w:rsidR="00582816" w:rsidRPr="000C2C86">
        <w:rPr>
          <w:rFonts w:ascii="Times New Roman" w:hAnsi="Times New Roman" w:cs="Times New Roman"/>
          <w:b/>
          <w:color w:val="000000" w:themeColor="text1"/>
          <w:sz w:val="19"/>
          <w:szCs w:val="19"/>
        </w:rPr>
        <w:t>„Dorzecze Łeby”</w:t>
      </w:r>
      <w:r w:rsidR="00582816">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 xml:space="preserve"> </w:t>
      </w:r>
      <w:bookmarkEnd w:id="0"/>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582816" w:rsidRPr="00582816">
        <w:rPr>
          <w:rFonts w:ascii="Times New Roman" w:hAnsi="Times New Roman" w:cs="Times New Roman"/>
          <w:b/>
          <w:color w:val="000000" w:themeColor="text1"/>
          <w:sz w:val="19"/>
          <w:szCs w:val="19"/>
        </w:rPr>
        <w:t>Łebie, ul. Jachtowa 8, 84-360 Łeba</w:t>
      </w:r>
      <w:r w:rsidR="00582816">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582816" w:rsidRPr="00582816">
          <w:rPr>
            <w:rStyle w:val="Hipercze"/>
            <w:rFonts w:ascii="Times New Roman" w:hAnsi="Times New Roman" w:cs="Times New Roman"/>
            <w:sz w:val="19"/>
            <w:szCs w:val="19"/>
          </w:rPr>
          <w:t>dyrektor@dorzeczeleby.pl</w:t>
        </w:r>
      </w:hyperlink>
      <w:r w:rsidR="00582816">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582816">
        <w:rPr>
          <w:rFonts w:ascii="Times New Roman" w:hAnsi="Times New Roman" w:cs="Times New Roman"/>
          <w:color w:val="000000" w:themeColor="text1"/>
          <w:sz w:val="19"/>
          <w:szCs w:val="19"/>
        </w:rPr>
        <w:t>ul. Jachtowa 8, 84-360 Łeba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DF6B62">
        <w:rPr>
          <w:rFonts w:ascii="Times New Roman" w:hAnsi="Times New Roman" w:cs="Times New Roman"/>
          <w:color w:val="000000" w:themeColor="text1"/>
          <w:sz w:val="19"/>
          <w:szCs w:val="19"/>
        </w:rPr>
        <w:t>, (</w:t>
      </w:r>
      <w:r w:rsidR="00DF6B62">
        <w:rPr>
          <w:rFonts w:ascii="Times New Roman" w:hAnsi="Times New Roman" w:cs="Times New Roman"/>
          <w:i/>
          <w:color w:val="000000" w:themeColor="text1"/>
          <w:sz w:val="19"/>
          <w:szCs w:val="19"/>
        </w:rPr>
        <w:t>jeżeli został wyznaczony</w:t>
      </w:r>
      <w:r w:rsidR="00DF6B62">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372B5A">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DF6B62">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42616F">
        <w:rPr>
          <w:rFonts w:ascii="Times New Roman" w:hAnsi="Times New Roman" w:cs="Times New Roman"/>
          <w:color w:val="000000" w:themeColor="text1"/>
          <w:sz w:val="19"/>
          <w:szCs w:val="19"/>
        </w:rPr>
        <w:t>z wyłączeniem</w:t>
      </w:r>
      <w:r w:rsidR="0071725C">
        <w:rPr>
          <w:rFonts w:ascii="Times New Roman" w:hAnsi="Times New Roman" w:cs="Times New Roman"/>
          <w:color w:val="000000" w:themeColor="text1"/>
          <w:sz w:val="19"/>
          <w:szCs w:val="19"/>
        </w:rPr>
        <w:t xml:space="preserve"> projekt</w:t>
      </w:r>
      <w:r w:rsidR="0042616F">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42616F">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Pr="00B568E5" w:rsidRDefault="0021142D" w:rsidP="00B568E5">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21142D">
        <w:trPr>
          <w:trHeight w:val="276"/>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21142D">
        <w:trPr>
          <w:trHeight w:val="274"/>
        </w:trPr>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reprezentanta </w:t>
            </w:r>
            <w:r w:rsidR="0021142D">
              <w:rPr>
                <w:rFonts w:ascii="Times New Roman" w:hAnsi="Times New Roman" w:cs="Times New Roman"/>
                <w:i/>
                <w:color w:val="000000" w:themeColor="text1"/>
                <w:sz w:val="16"/>
                <w:szCs w:val="19"/>
              </w:rPr>
              <w:t>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40"/>
        <w:gridCol w:w="398"/>
        <w:gridCol w:w="236"/>
        <w:gridCol w:w="7852"/>
        <w:gridCol w:w="76"/>
      </w:tblGrid>
      <w:tr w:rsidR="004C7EC1" w:rsidRPr="00AF719D" w:rsidTr="00582816">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40"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398"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w:t>
            </w:r>
            <w:r w:rsidR="0042616F">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21142D">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2478C4"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Zarząd Województwa Pomorskiego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Gdańsku, ul. Okopowa 21/27, 80-810 Gdańsk</w:t>
            </w:r>
            <w:r w:rsidR="004C7EC1" w:rsidRPr="00AF719D">
              <w:rPr>
                <w:rFonts w:ascii="Times New Roman" w:hAnsi="Times New Roman" w:cs="Times New Roman"/>
                <w:color w:val="000000" w:themeColor="text1"/>
                <w:sz w:val="19"/>
                <w:szCs w:val="19"/>
              </w:rPr>
              <w:t>;</w:t>
            </w:r>
          </w:p>
          <w:p w:rsidR="004C7EC1" w:rsidRPr="00AF719D" w:rsidRDefault="00582816"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Lokalną Grupę Działania „Dorzecze Łeby” z siedzibą w Łebie, ul. Jachtowa 84-360 Łeba.</w:t>
            </w:r>
          </w:p>
        </w:tc>
      </w:tr>
      <w:tr w:rsidR="004C7EC1" w:rsidRPr="00AF719D" w:rsidTr="00582816">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40"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398"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82816">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40"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398"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82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40"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398"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82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40"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398"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82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FE4CD8"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40"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86"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DB003E" w:rsidP="005F725C">
            <w:pPr>
              <w:pStyle w:val="Akapitzlist"/>
              <w:numPr>
                <w:ilvl w:val="0"/>
                <w:numId w:val="13"/>
              </w:numPr>
              <w:ind w:left="383"/>
              <w:jc w:val="both"/>
              <w:rPr>
                <w:rFonts w:ascii="Times New Roman" w:hAnsi="Times New Roman" w:cs="Times New Roman"/>
                <w:color w:val="000000" w:themeColor="text1"/>
                <w:sz w:val="19"/>
                <w:szCs w:val="19"/>
              </w:rPr>
            </w:pPr>
            <w:hyperlink r:id="rId11"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2"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Default="00DB003E"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3" w:history="1">
              <w:r w:rsidR="002478C4" w:rsidRPr="003B2C54">
                <w:rPr>
                  <w:rStyle w:val="Hipercze"/>
                  <w:rFonts w:ascii="Times New Roman" w:hAnsi="Times New Roman" w:cs="Times New Roman"/>
                  <w:sz w:val="19"/>
                  <w:szCs w:val="19"/>
                </w:rPr>
                <w:t>dprow@pomorskie.eu</w:t>
              </w:r>
            </w:hyperlink>
            <w:r w:rsidR="002478C4">
              <w:rPr>
                <w:rFonts w:ascii="Times New Roman" w:hAnsi="Times New Roman" w:cs="Times New Roman"/>
                <w:color w:val="000000" w:themeColor="text1"/>
                <w:sz w:val="19"/>
                <w:szCs w:val="19"/>
              </w:rPr>
              <w:t xml:space="preserve">; </w:t>
            </w:r>
            <w:hyperlink r:id="rId14" w:history="1">
              <w:r w:rsidR="002478C4" w:rsidRPr="003B2C54">
                <w:rPr>
                  <w:rStyle w:val="Hipercze"/>
                  <w:rFonts w:ascii="Times New Roman" w:hAnsi="Times New Roman" w:cs="Times New Roman"/>
                  <w:sz w:val="19"/>
                  <w:szCs w:val="19"/>
                </w:rPr>
                <w:t>iod@pomorskie.eu</w:t>
              </w:r>
            </w:hyperlink>
            <w:r w:rsidR="004C7EC1" w:rsidRPr="00AF719D">
              <w:rPr>
                <w:rFonts w:ascii="Times New Roman" w:hAnsi="Times New Roman" w:cs="Times New Roman"/>
                <w:color w:val="000000" w:themeColor="text1"/>
                <w:sz w:val="19"/>
                <w:szCs w:val="19"/>
              </w:rPr>
              <w:t>;</w:t>
            </w:r>
            <w:r w:rsidR="002478C4">
              <w:rPr>
                <w:rFonts w:ascii="Times New Roman" w:hAnsi="Times New Roman" w:cs="Times New Roman"/>
                <w:color w:val="000000" w:themeColor="text1"/>
                <w:sz w:val="19"/>
                <w:szCs w:val="19"/>
              </w:rPr>
              <w:t xml:space="preserve"> </w:t>
            </w:r>
          </w:p>
          <w:p w:rsidR="00582816" w:rsidRDefault="00DB003E"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5" w:history="1">
              <w:r w:rsidR="00582816" w:rsidRPr="007B0319">
                <w:rPr>
                  <w:rStyle w:val="Hipercze"/>
                  <w:rFonts w:ascii="Times New Roman" w:hAnsi="Times New Roman" w:cs="Times New Roman"/>
                  <w:sz w:val="19"/>
                  <w:szCs w:val="19"/>
                </w:rPr>
                <w:t>dyrektor@dorzeczeleby.pl</w:t>
              </w:r>
            </w:hyperlink>
            <w:r w:rsidR="00582816" w:rsidRPr="00582816">
              <w:rPr>
                <w:rFonts w:ascii="Times New Roman" w:hAnsi="Times New Roman" w:cs="Times New Roman"/>
                <w:color w:val="000000" w:themeColor="text1"/>
                <w:sz w:val="19"/>
                <w:szCs w:val="19"/>
              </w:rPr>
              <w:t xml:space="preserve"> </w:t>
            </w:r>
          </w:p>
          <w:p w:rsidR="004C7EC1" w:rsidRPr="00582816" w:rsidRDefault="004C7EC1" w:rsidP="00582816">
            <w:pPr>
              <w:jc w:val="both"/>
              <w:rPr>
                <w:rFonts w:ascii="Times New Roman" w:hAnsi="Times New Roman" w:cs="Times New Roman"/>
                <w:color w:val="000000" w:themeColor="text1"/>
                <w:sz w:val="19"/>
                <w:szCs w:val="19"/>
              </w:rPr>
            </w:pPr>
            <w:r w:rsidRPr="00582816">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82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40"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86"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 reprezentanta </w:t>
            </w:r>
            <w:r w:rsidR="0021142D">
              <w:rPr>
                <w:rFonts w:ascii="Times New Roman" w:hAnsi="Times New Roman" w:cs="Times New Roman"/>
                <w:i/>
                <w:color w:val="000000" w:themeColor="text1"/>
                <w:sz w:val="16"/>
                <w:szCs w:val="19"/>
              </w:rPr>
              <w:t>beneficjenta</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6"/>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03E" w:rsidRDefault="00DB003E" w:rsidP="007417CA">
      <w:pPr>
        <w:spacing w:after="0" w:line="240" w:lineRule="auto"/>
      </w:pPr>
      <w:r>
        <w:separator/>
      </w:r>
    </w:p>
  </w:endnote>
  <w:endnote w:type="continuationSeparator" w:id="0">
    <w:p w:rsidR="00DB003E" w:rsidRDefault="00DB003E"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2478C4">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2478C4">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03E" w:rsidRDefault="00DB003E" w:rsidP="007417CA">
      <w:pPr>
        <w:spacing w:after="0" w:line="240" w:lineRule="auto"/>
      </w:pPr>
      <w:r>
        <w:separator/>
      </w:r>
    </w:p>
  </w:footnote>
  <w:footnote w:type="continuationSeparator" w:id="0">
    <w:p w:rsidR="00DB003E" w:rsidRDefault="00DB003E" w:rsidP="007417CA">
      <w:pPr>
        <w:spacing w:after="0" w:line="240" w:lineRule="auto"/>
      </w:pPr>
      <w:r>
        <w:continuationSeparator/>
      </w:r>
    </w:p>
  </w:footnote>
  <w:footnote w:id="1">
    <w:p w:rsidR="00306F58" w:rsidRDefault="00306F58" w:rsidP="00306F58">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2C86"/>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745F"/>
    <w:rsid w:val="002478C4"/>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6F58"/>
    <w:rsid w:val="00311E7F"/>
    <w:rsid w:val="003266DB"/>
    <w:rsid w:val="00327BE4"/>
    <w:rsid w:val="003369E9"/>
    <w:rsid w:val="0035579B"/>
    <w:rsid w:val="00372B5A"/>
    <w:rsid w:val="00393949"/>
    <w:rsid w:val="003968F8"/>
    <w:rsid w:val="003C20D9"/>
    <w:rsid w:val="003C2BCE"/>
    <w:rsid w:val="003F4FF0"/>
    <w:rsid w:val="003F5162"/>
    <w:rsid w:val="004023C7"/>
    <w:rsid w:val="004045B5"/>
    <w:rsid w:val="00413E51"/>
    <w:rsid w:val="00417387"/>
    <w:rsid w:val="0042616F"/>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809CF"/>
    <w:rsid w:val="00582816"/>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8518C"/>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5674"/>
    <w:rsid w:val="007975BD"/>
    <w:rsid w:val="007B6FBA"/>
    <w:rsid w:val="007C7422"/>
    <w:rsid w:val="007C7FD5"/>
    <w:rsid w:val="007D4B67"/>
    <w:rsid w:val="007F3D74"/>
    <w:rsid w:val="007F77A5"/>
    <w:rsid w:val="008024C2"/>
    <w:rsid w:val="00814843"/>
    <w:rsid w:val="00831F6B"/>
    <w:rsid w:val="00834A99"/>
    <w:rsid w:val="008429F9"/>
    <w:rsid w:val="008477C1"/>
    <w:rsid w:val="00847802"/>
    <w:rsid w:val="00850DBB"/>
    <w:rsid w:val="0086055F"/>
    <w:rsid w:val="0088004E"/>
    <w:rsid w:val="008864BB"/>
    <w:rsid w:val="00893F26"/>
    <w:rsid w:val="00896F5B"/>
    <w:rsid w:val="008F66B9"/>
    <w:rsid w:val="009006B2"/>
    <w:rsid w:val="009013D4"/>
    <w:rsid w:val="009062C9"/>
    <w:rsid w:val="00907948"/>
    <w:rsid w:val="0095712A"/>
    <w:rsid w:val="00985B5C"/>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5DDF"/>
    <w:rsid w:val="00AB7F77"/>
    <w:rsid w:val="00AE4C5F"/>
    <w:rsid w:val="00AF719D"/>
    <w:rsid w:val="00B127E9"/>
    <w:rsid w:val="00B15AD0"/>
    <w:rsid w:val="00B35E86"/>
    <w:rsid w:val="00B35FF4"/>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A0382"/>
    <w:rsid w:val="00DB003E"/>
    <w:rsid w:val="00DB2D4F"/>
    <w:rsid w:val="00DE795C"/>
    <w:rsid w:val="00DF6B62"/>
    <w:rsid w:val="00E0048F"/>
    <w:rsid w:val="00E111CA"/>
    <w:rsid w:val="00E11568"/>
    <w:rsid w:val="00E12185"/>
    <w:rsid w:val="00E12554"/>
    <w:rsid w:val="00E1299F"/>
    <w:rsid w:val="00E1692A"/>
    <w:rsid w:val="00E2045B"/>
    <w:rsid w:val="00E41DB7"/>
    <w:rsid w:val="00E71EC6"/>
    <w:rsid w:val="00E91B88"/>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 w:val="00FE4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8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dprow@pomorskie.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arim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imr.gov.pl" TargetMode="External"/><Relationship Id="rId5" Type="http://schemas.openxmlformats.org/officeDocument/2006/relationships/webSettings" Target="webSettings.xml"/><Relationship Id="rId15" Type="http://schemas.openxmlformats.org/officeDocument/2006/relationships/hyperlink" Target="mailto:dyrektor@dorzeczeleby.pl" TargetMode="External"/><Relationship Id="rId10" Type="http://schemas.openxmlformats.org/officeDocument/2006/relationships/hyperlink" Target="mailto:dyrektor@dorzeczeleby.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iod@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BAF8-ECBB-46E8-8472-666BAEC5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1918</Words>
  <Characters>11512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Dyrektor Łeba</cp:lastModifiedBy>
  <cp:revision>4</cp:revision>
  <cp:lastPrinted>2018-05-23T12:56:00Z</cp:lastPrinted>
  <dcterms:created xsi:type="dcterms:W3CDTF">2018-06-25T16:00:00Z</dcterms:created>
  <dcterms:modified xsi:type="dcterms:W3CDTF">2018-06-28T07:36:00Z</dcterms:modified>
</cp:coreProperties>
</file>